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cs="Times New Roman"/>
          <w:bCs/>
          <w:sz w:val="24"/>
          <w:lang w:bidi="en-US"/>
        </w:rPr>
      </w:pPr>
      <w:r>
        <w:rPr>
          <w:rFonts w:ascii="Times New Roman" w:hAnsi="Times New Roman" w:cs="Times New Roman"/>
          <w:b/>
          <w:sz w:val="24"/>
          <w:lang w:bidi="en-US"/>
        </w:rPr>
        <w:t>Figure S1:</w:t>
      </w:r>
      <w:r>
        <w:rPr>
          <w:rFonts w:ascii="Times New Roman" w:hAnsi="Times New Roman" w:cs="Times New Roman"/>
          <w:bCs/>
          <w:sz w:val="24"/>
          <w:lang w:bidi="en-US"/>
        </w:rPr>
        <w:t xml:space="preserve"> Genetic linkage map for the RIL population in this study.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Yjc0MjgyMTE1YjdmYWQ5MWVjOWJlNGI4MDQ1ZDUifQ=="/>
  </w:docVars>
  <w:rsids>
    <w:rsidRoot w:val="60A1706B"/>
    <w:rsid w:val="60A1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2024-06-25T05:39:00Z</dcterms:created>
  <dc:creator>summer</dc:creator>
  <cp:lastModifiedBy>summer</cp:lastModifiedBy>
  <dcterms:modified xsi:type="dcterms:W3CDTF">2024-06-25T05:40:10Z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527C614DA1F8417FA88D11CE4EEE9F15_11</vt:lpwstr>
  </property>
</Properties>
</file>